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05D8">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东营市第二人民医院</w:t>
      </w:r>
    </w:p>
    <w:p w14:paraId="54F6A7A4">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2023年政府信息公开工作年度报告</w:t>
      </w:r>
    </w:p>
    <w:p w14:paraId="1BE93F1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1E15E2B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本年度报告根据《中华人民共和国政府信息公开条例》规定和国务院办公厅《关于政府信息公开工作年度报告有关事项的通知》文件精神编写。报告所列数据的统计期限自2023年1月1日起至2023年12月31日止。本报告电子版可在东营市第二人民医院网站（https://www.dysdermyy.org/）查阅或下载。如对本报告有疑问，请与东营市第二人民医院办公室联系（地址：东营市广饶县大王镇常春路28号；邮编：257335；电话：0546-6881793；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"mailto:dyswjwbgs@dy.shandong.cn）。"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sey@dy.shandong.cn）。</w:t>
      </w:r>
      <w:r>
        <w:rPr>
          <w:rFonts w:hint="eastAsia" w:ascii="仿宋_GB2312" w:hAnsi="仿宋_GB2312" w:eastAsia="仿宋_GB2312" w:cs="仿宋_GB2312"/>
          <w:sz w:val="32"/>
          <w:szCs w:val="32"/>
          <w:lang w:val="en-US" w:eastAsia="zh-CN"/>
        </w:rPr>
        <w:fldChar w:fldCharType="end"/>
      </w:r>
    </w:p>
    <w:p w14:paraId="40BC29CA">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一、总体情况</w:t>
      </w:r>
    </w:p>
    <w:p w14:paraId="16B974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东营市第二人民医院始终坚持以习近平新时代中国特色社会主义思想和党的二十大精神为指导，认真贯彻落实党中央、国务院关于全面推进政务公开工作的各项决策部署，加大统筹推进力度，全面提升政府信息公开质量，积极主动回应社会关切，着力完善公开工作机制，持续规范公开平台管理，及时、准确地向社会公开医院信息，切实保障人民群众对医院工作的知情权、参与权、表达权和监督权。</w:t>
      </w:r>
    </w:p>
    <w:p w14:paraId="63EAFE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color w:val="auto"/>
          <w:sz w:val="32"/>
          <w:szCs w:val="32"/>
          <w:lang w:eastAsia="zh-CN"/>
        </w:rPr>
        <w:t>主动公开。</w:t>
      </w:r>
      <w:r>
        <w:rPr>
          <w:rFonts w:hint="eastAsia" w:ascii="仿宋_GB2312" w:hAnsi="仿宋_GB2312" w:eastAsia="仿宋_GB2312" w:cs="仿宋_GB2312"/>
          <w:i w:val="0"/>
          <w:iCs w:val="0"/>
          <w:caps w:val="0"/>
          <w:color w:val="auto"/>
          <w:spacing w:val="0"/>
          <w:sz w:val="32"/>
          <w:szCs w:val="32"/>
        </w:rPr>
        <w:t>202</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年，我院积极推进政府信息主动公开，按照《条例》要求</w:t>
      </w:r>
      <w:r>
        <w:rPr>
          <w:rFonts w:hint="eastAsia" w:ascii="仿宋_GB2312" w:hAnsi="仿宋_GB2312" w:eastAsia="仿宋_GB2312" w:cs="仿宋_GB2312"/>
          <w:color w:val="auto"/>
          <w:sz w:val="32"/>
          <w:szCs w:val="32"/>
          <w:lang w:eastAsia="zh-CN"/>
        </w:rPr>
        <w:t>，对我院政务公开信息内容做到定期检查、及时更新。202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年通过“</w:t>
      </w:r>
      <w:r>
        <w:rPr>
          <w:rFonts w:hint="eastAsia" w:ascii="仿宋_GB2312" w:hAnsi="仿宋_GB2312" w:eastAsia="仿宋_GB2312" w:cs="仿宋_GB2312"/>
          <w:color w:val="auto"/>
          <w:sz w:val="32"/>
          <w:szCs w:val="32"/>
          <w:lang w:val="en-US" w:eastAsia="zh-CN"/>
        </w:rPr>
        <w:t>东营市第二人民医院院务公开</w:t>
      </w:r>
      <w:r>
        <w:rPr>
          <w:rFonts w:hint="eastAsia" w:ascii="仿宋_GB2312" w:hAnsi="仿宋_GB2312" w:eastAsia="仿宋_GB2312" w:cs="仿宋_GB2312"/>
          <w:color w:val="auto"/>
          <w:sz w:val="32"/>
          <w:szCs w:val="32"/>
          <w:lang w:eastAsia="zh-CN"/>
        </w:rPr>
        <w:t>”主动公开各类信息共</w:t>
      </w:r>
      <w:r>
        <w:rPr>
          <w:rFonts w:hint="eastAsia" w:ascii="仿宋_GB2312" w:hAnsi="仿宋_GB2312" w:eastAsia="仿宋_GB2312" w:cs="仿宋_GB2312"/>
          <w:color w:val="auto"/>
          <w:sz w:val="32"/>
          <w:szCs w:val="32"/>
          <w:lang w:val="en-US" w:eastAsia="zh-CN"/>
        </w:rPr>
        <w:t>450</w:t>
      </w:r>
      <w:r>
        <w:rPr>
          <w:rFonts w:hint="eastAsia" w:ascii="仿宋_GB2312" w:hAnsi="仿宋_GB2312" w:eastAsia="仿宋_GB2312" w:cs="仿宋_GB2312"/>
          <w:color w:val="auto"/>
          <w:sz w:val="32"/>
          <w:szCs w:val="32"/>
          <w:lang w:eastAsia="zh-CN"/>
        </w:rPr>
        <w:t>条，其中，</w:t>
      </w:r>
      <w:r>
        <w:rPr>
          <w:rFonts w:hint="eastAsia" w:ascii="仿宋_GB2312" w:hAnsi="仿宋_GB2312" w:eastAsia="仿宋_GB2312" w:cs="仿宋_GB2312"/>
          <w:color w:val="000000"/>
          <w:sz w:val="32"/>
          <w:szCs w:val="32"/>
          <w:shd w:val="clear" w:color="auto" w:fill="FFFFFF"/>
        </w:rPr>
        <w:t>医院官网新闻中心发布信息74条，发布公告124条，医院视频号共发布信息57条，医院官方微信公众号共发布信息195条。全年共计在省、市、县、镇等各级媒体发表稿件120余篇；东营电视台公共频道《健康东营》拍摄《内分泌与健康》宣教节目1期，参与录制市电台《健康之声》1期；5·12国际护士节专题视频《TA们—致敬护理工作者》在学习强国、文明东营等多个平台刊发，系列心理咨询视频《家庭教育中的常见问题》共六集登上学习强国平台。</w:t>
      </w:r>
    </w:p>
    <w:p w14:paraId="1345D9DD">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（2）依申请公开。</w:t>
      </w:r>
      <w:r>
        <w:rPr>
          <w:rFonts w:hint="eastAsia" w:ascii="仿宋_GB2312" w:hAnsi="仿宋_GB2312" w:eastAsia="仿宋_GB2312" w:cs="仿宋_GB2312"/>
          <w:color w:val="auto"/>
          <w:sz w:val="32"/>
          <w:szCs w:val="32"/>
        </w:rPr>
        <w:t>根据《条例》要求，我院进一步健全完善依申请公开办理规范，统一规范的答复格式，便于做好答复工作。202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年度，我院未收到依申请公开申请事项。</w:t>
      </w:r>
    </w:p>
    <w:p w14:paraId="0635C5CF">
      <w:pPr>
        <w:spacing w:line="560" w:lineRule="exact"/>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（3）政府信息管理。</w:t>
      </w:r>
      <w:r>
        <w:rPr>
          <w:rFonts w:hint="eastAsia" w:ascii="仿宋_GB2312" w:hAnsi="仿宋_GB2312" w:eastAsia="仿宋_GB2312" w:cs="仿宋_GB2312"/>
          <w:color w:val="auto"/>
          <w:sz w:val="32"/>
          <w:szCs w:val="32"/>
        </w:rPr>
        <w:t>我院高度重视政务公开工作，始终把政务公开与医院各项工作</w:t>
      </w:r>
      <w:r>
        <w:rPr>
          <w:rFonts w:hint="eastAsia" w:ascii="仿宋_GB2312" w:hAnsi="仿宋_GB2312" w:eastAsia="仿宋_GB2312" w:cs="仿宋_GB2312"/>
          <w:color w:val="auto"/>
          <w:sz w:val="32"/>
          <w:szCs w:val="32"/>
          <w:lang w:eastAsia="zh-CN"/>
        </w:rPr>
        <w:t>相结合</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卫生健康领域企事业单位信息</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指标体系，进一步分解细化工作任务，确定政务公开内容责任科室，确保任务落实到人。严格按照《条例》要求，规范信息发布流程，所有上网信息必须由分管领导审核后方可发布。同时，明确信息公开属性，对信息准确性、权威性、合法性和时效性进行审核，杜绝国家秘密、患者隐私等的信息上网。</w:t>
      </w:r>
    </w:p>
    <w:p w14:paraId="18D1AA9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（4）政府信息公开平台建设。</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东营市第二人民医院信息</w:t>
      </w:r>
      <w:r>
        <w:rPr>
          <w:rFonts w:hint="eastAsia" w:ascii="仿宋_GB2312" w:hAnsi="仿宋_GB2312" w:eastAsia="仿宋_GB2312" w:cs="仿宋_GB2312"/>
          <w:color w:val="auto"/>
          <w:sz w:val="32"/>
          <w:szCs w:val="32"/>
          <w:lang w:eastAsia="zh-CN"/>
        </w:rPr>
        <w:t>公开专栏”</w:t>
      </w:r>
      <w:r>
        <w:rPr>
          <w:rFonts w:hint="eastAsia" w:ascii="仿宋_GB2312" w:hAnsi="仿宋_GB2312" w:eastAsia="仿宋_GB2312" w:cs="仿宋_GB2312"/>
          <w:color w:val="auto"/>
          <w:sz w:val="32"/>
          <w:szCs w:val="32"/>
        </w:rPr>
        <w:t>，及时对</w:t>
      </w:r>
      <w:r>
        <w:rPr>
          <w:rFonts w:hint="eastAsia" w:ascii="仿宋_GB2312" w:hAnsi="仿宋_GB2312" w:eastAsia="仿宋_GB2312" w:cs="仿宋_GB2312"/>
          <w:color w:val="auto"/>
          <w:sz w:val="32"/>
          <w:szCs w:val="32"/>
          <w:lang w:eastAsia="zh-CN"/>
        </w:rPr>
        <w:t>医院的各类信息进行</w:t>
      </w:r>
      <w:r>
        <w:rPr>
          <w:rFonts w:hint="eastAsia" w:ascii="仿宋_GB2312" w:hAnsi="仿宋_GB2312" w:eastAsia="仿宋_GB2312" w:cs="仿宋_GB2312"/>
          <w:color w:val="auto"/>
          <w:sz w:val="32"/>
          <w:szCs w:val="32"/>
        </w:rPr>
        <w:t>更新、完善</w:t>
      </w:r>
      <w:r>
        <w:rPr>
          <w:rFonts w:hint="eastAsia" w:ascii="仿宋_GB2312" w:hAnsi="仿宋_GB2312" w:eastAsia="仿宋_GB2312" w:cs="仿宋_GB2312"/>
          <w:color w:val="auto"/>
          <w:sz w:val="32"/>
          <w:szCs w:val="32"/>
          <w:lang w:eastAsia="zh-CN"/>
        </w:rPr>
        <w:t>；二是及时做好群众关切问题的解答与回应，规避舆情风险，提高群众满意度；三是利用医院微信公众号及订阅号、健康东营、齐鲁晚报等</w:t>
      </w:r>
      <w:r>
        <w:rPr>
          <w:rFonts w:hint="eastAsia" w:ascii="仿宋_GB2312" w:hAnsi="仿宋_GB2312" w:eastAsia="仿宋_GB2312" w:cs="仿宋_GB2312"/>
          <w:color w:val="auto"/>
          <w:sz w:val="32"/>
          <w:szCs w:val="32"/>
          <w:lang w:val="en-US" w:eastAsia="zh-CN"/>
        </w:rPr>
        <w:t>多种平台发布新闻信息、重要工作和健康科普知识，提高服务公众的质量。</w:t>
      </w:r>
    </w:p>
    <w:p w14:paraId="0285509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（5）监督保障。</w:t>
      </w:r>
      <w:r>
        <w:rPr>
          <w:rFonts w:hint="eastAsia" w:ascii="仿宋_GB2312" w:hAnsi="仿宋_GB2312" w:eastAsia="仿宋_GB2312" w:cs="仿宋_GB2312"/>
          <w:color w:val="auto"/>
          <w:sz w:val="32"/>
          <w:szCs w:val="32"/>
        </w:rPr>
        <w:t>修订完善《东营市</w:t>
      </w:r>
      <w:r>
        <w:rPr>
          <w:rFonts w:hint="eastAsia" w:ascii="仿宋_GB2312" w:hAnsi="仿宋_GB2312" w:eastAsia="仿宋_GB2312" w:cs="仿宋_GB2312"/>
          <w:color w:val="auto"/>
          <w:sz w:val="32"/>
          <w:szCs w:val="32"/>
          <w:lang w:val="en-US" w:eastAsia="zh-CN"/>
        </w:rPr>
        <w:t>第二人民医院</w:t>
      </w:r>
      <w:r>
        <w:rPr>
          <w:rFonts w:hint="eastAsia" w:ascii="仿宋_GB2312" w:hAnsi="仿宋_GB2312" w:eastAsia="仿宋_GB2312" w:cs="仿宋_GB2312"/>
          <w:color w:val="auto"/>
          <w:sz w:val="32"/>
          <w:szCs w:val="32"/>
        </w:rPr>
        <w:t>信息公开工作制度》，通过建立健全相关制度，明确工作任务，落实工作责任，为政务公开工作的准确性、</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性和长效性提供制度保障</w:t>
      </w:r>
      <w:r>
        <w:rPr>
          <w:rFonts w:hint="eastAsia" w:ascii="仿宋_GB2312" w:hAnsi="仿宋_GB2312" w:eastAsia="仿宋_GB2312" w:cs="仿宋_GB2312"/>
          <w:color w:val="auto"/>
          <w:sz w:val="32"/>
          <w:szCs w:val="32"/>
          <w:lang w:eastAsia="zh-CN"/>
        </w:rPr>
        <w:t>；根据评估指标体系建立自查整改机制，</w:t>
      </w:r>
      <w:r>
        <w:rPr>
          <w:rFonts w:hint="eastAsia" w:ascii="仿宋_GB2312" w:hAnsi="仿宋_GB2312" w:eastAsia="仿宋_GB2312" w:cs="仿宋_GB2312"/>
          <w:color w:val="auto"/>
          <w:sz w:val="32"/>
          <w:szCs w:val="32"/>
        </w:rPr>
        <w:t>结合问题积极整改，使政务公开工作更加扎实</w:t>
      </w:r>
      <w:r>
        <w:rPr>
          <w:rFonts w:hint="eastAsia" w:ascii="仿宋_GB2312" w:hAnsi="仿宋_GB2312" w:eastAsia="仿宋_GB2312" w:cs="仿宋_GB2312"/>
          <w:color w:val="auto"/>
          <w:sz w:val="32"/>
          <w:szCs w:val="32"/>
          <w:lang w:eastAsia="zh-CN"/>
        </w:rPr>
        <w:t>；加强人员培训</w:t>
      </w:r>
      <w:r>
        <w:rPr>
          <w:rFonts w:hint="eastAsia" w:ascii="仿宋_GB2312" w:hAnsi="仿宋_GB2312" w:eastAsia="仿宋_GB2312" w:cs="仿宋_GB2312"/>
          <w:color w:val="auto"/>
          <w:sz w:val="32"/>
          <w:szCs w:val="32"/>
        </w:rPr>
        <w:t>，积极参加市政务公开办公室举办的各类政务公开业务培训学习</w:t>
      </w:r>
      <w:r>
        <w:rPr>
          <w:rFonts w:hint="eastAsia" w:ascii="仿宋_GB2312" w:hAnsi="仿宋_GB2312" w:eastAsia="仿宋_GB2312" w:cs="仿宋_GB2312"/>
          <w:color w:val="auto"/>
          <w:sz w:val="32"/>
          <w:szCs w:val="32"/>
          <w:lang w:eastAsia="zh-CN"/>
        </w:rPr>
        <w:t>，不断增强工作能动性</w:t>
      </w:r>
      <w:r>
        <w:rPr>
          <w:rFonts w:hint="eastAsia" w:ascii="仿宋_GB2312" w:hAnsi="仿宋_GB2312" w:eastAsia="仿宋_GB2312" w:cs="仿宋_GB2312"/>
          <w:color w:val="auto"/>
          <w:sz w:val="32"/>
          <w:szCs w:val="32"/>
        </w:rPr>
        <w:t>。</w:t>
      </w:r>
    </w:p>
    <w:p w14:paraId="17CFCC0A">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二、主动公开政府信息情况</w:t>
      </w:r>
    </w:p>
    <w:tbl>
      <w:tblPr>
        <w:tblStyle w:val="7"/>
        <w:tblW w:w="5826" w:type="pct"/>
        <w:tblInd w:w="-696" w:type="dxa"/>
        <w:tblLayout w:type="autofit"/>
        <w:tblCellMar>
          <w:top w:w="0" w:type="dxa"/>
          <w:left w:w="108" w:type="dxa"/>
          <w:bottom w:w="0" w:type="dxa"/>
          <w:right w:w="108" w:type="dxa"/>
        </w:tblCellMar>
      </w:tblPr>
      <w:tblGrid>
        <w:gridCol w:w="2822"/>
        <w:gridCol w:w="2129"/>
        <w:gridCol w:w="2129"/>
        <w:gridCol w:w="2850"/>
      </w:tblGrid>
      <w:tr w14:paraId="2F3FCD54">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30F77AE">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14:paraId="03635FC2">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03F3E67B">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1072" w:type="pct"/>
            <w:tcBorders>
              <w:top w:val="nil"/>
              <w:left w:val="nil"/>
              <w:bottom w:val="single" w:color="auto" w:sz="8" w:space="0"/>
              <w:right w:val="single" w:color="auto" w:sz="8" w:space="0"/>
            </w:tcBorders>
            <w:shd w:val="clear" w:color="auto" w:fill="auto"/>
            <w:vAlign w:val="center"/>
          </w:tcPr>
          <w:p w14:paraId="3486A164">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1072" w:type="pct"/>
            <w:tcBorders>
              <w:top w:val="nil"/>
              <w:left w:val="nil"/>
              <w:bottom w:val="single" w:color="auto" w:sz="8" w:space="0"/>
              <w:right w:val="single" w:color="auto" w:sz="8" w:space="0"/>
            </w:tcBorders>
            <w:shd w:val="clear" w:color="auto" w:fill="auto"/>
            <w:vAlign w:val="center"/>
          </w:tcPr>
          <w:p w14:paraId="407C944E">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1434" w:type="pct"/>
            <w:tcBorders>
              <w:top w:val="nil"/>
              <w:left w:val="nil"/>
              <w:bottom w:val="single" w:color="auto" w:sz="8" w:space="0"/>
              <w:right w:val="single" w:color="auto" w:sz="8" w:space="0"/>
            </w:tcBorders>
            <w:shd w:val="clear" w:color="auto" w:fill="auto"/>
            <w:vAlign w:val="center"/>
          </w:tcPr>
          <w:p w14:paraId="3B08231A">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14:paraId="64DA1919">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1C82E1BD">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1072" w:type="pct"/>
            <w:tcBorders>
              <w:top w:val="nil"/>
              <w:left w:val="nil"/>
              <w:bottom w:val="single" w:color="auto" w:sz="8" w:space="0"/>
              <w:right w:val="single" w:color="auto" w:sz="8" w:space="0"/>
            </w:tcBorders>
            <w:shd w:val="clear" w:color="auto" w:fill="auto"/>
            <w:vAlign w:val="center"/>
          </w:tcPr>
          <w:p w14:paraId="5A2CA37E">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1072" w:type="pct"/>
            <w:tcBorders>
              <w:top w:val="nil"/>
              <w:left w:val="nil"/>
              <w:bottom w:val="single" w:color="auto" w:sz="8" w:space="0"/>
              <w:right w:val="single" w:color="auto" w:sz="8" w:space="0"/>
            </w:tcBorders>
            <w:shd w:val="clear" w:color="auto" w:fill="auto"/>
            <w:vAlign w:val="center"/>
          </w:tcPr>
          <w:p w14:paraId="338FF198">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1434" w:type="pct"/>
            <w:tcBorders>
              <w:top w:val="nil"/>
              <w:left w:val="nil"/>
              <w:bottom w:val="single" w:color="auto" w:sz="8" w:space="0"/>
              <w:right w:val="single" w:color="auto" w:sz="8" w:space="0"/>
            </w:tcBorders>
            <w:shd w:val="clear" w:color="auto" w:fill="auto"/>
            <w:vAlign w:val="center"/>
          </w:tcPr>
          <w:p w14:paraId="47B51F82">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303FD979">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09050D81">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1072" w:type="pct"/>
            <w:tcBorders>
              <w:top w:val="nil"/>
              <w:left w:val="nil"/>
              <w:bottom w:val="single" w:color="auto" w:sz="8" w:space="0"/>
              <w:right w:val="single" w:color="auto" w:sz="8" w:space="0"/>
            </w:tcBorders>
            <w:shd w:val="clear" w:color="auto" w:fill="auto"/>
            <w:vAlign w:val="center"/>
          </w:tcPr>
          <w:p w14:paraId="78C7DE88">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1072" w:type="pct"/>
            <w:tcBorders>
              <w:top w:val="nil"/>
              <w:left w:val="nil"/>
              <w:bottom w:val="single" w:color="auto" w:sz="8" w:space="0"/>
              <w:right w:val="single" w:color="auto" w:sz="8" w:space="0"/>
            </w:tcBorders>
            <w:shd w:val="clear" w:color="auto" w:fill="auto"/>
            <w:vAlign w:val="center"/>
          </w:tcPr>
          <w:p w14:paraId="23606AAA">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1434" w:type="pct"/>
            <w:tcBorders>
              <w:top w:val="nil"/>
              <w:left w:val="nil"/>
              <w:bottom w:val="single" w:color="auto" w:sz="8" w:space="0"/>
              <w:right w:val="single" w:color="auto" w:sz="8" w:space="0"/>
            </w:tcBorders>
            <w:shd w:val="clear" w:color="auto" w:fill="auto"/>
            <w:vAlign w:val="center"/>
          </w:tcPr>
          <w:p w14:paraId="34AF72D3">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069E8274">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6ADA897">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620C929E">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6E4C97CF">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3578" w:type="pct"/>
            <w:gridSpan w:val="3"/>
            <w:tcBorders>
              <w:top w:val="single" w:color="auto" w:sz="8" w:space="0"/>
              <w:left w:val="nil"/>
              <w:bottom w:val="single" w:color="auto" w:sz="8" w:space="0"/>
              <w:right w:val="single" w:color="000000" w:sz="8" w:space="0"/>
            </w:tcBorders>
            <w:shd w:val="clear" w:color="auto" w:fill="auto"/>
            <w:vAlign w:val="center"/>
          </w:tcPr>
          <w:p w14:paraId="689686E8">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561F35BC">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55A19F42">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3578" w:type="pct"/>
            <w:gridSpan w:val="3"/>
            <w:tcBorders>
              <w:top w:val="single" w:color="auto" w:sz="8" w:space="0"/>
              <w:left w:val="nil"/>
              <w:bottom w:val="single" w:color="auto" w:sz="8" w:space="0"/>
              <w:right w:val="single" w:color="000000" w:sz="8" w:space="0"/>
            </w:tcBorders>
            <w:shd w:val="clear" w:color="auto" w:fill="auto"/>
            <w:vAlign w:val="center"/>
          </w:tcPr>
          <w:p w14:paraId="74831073">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61372A27">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2270308">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68D8338C">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1DA18C4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3578" w:type="pct"/>
            <w:gridSpan w:val="3"/>
            <w:tcBorders>
              <w:top w:val="single" w:color="auto" w:sz="8" w:space="0"/>
              <w:left w:val="nil"/>
              <w:bottom w:val="single" w:color="auto" w:sz="8" w:space="0"/>
              <w:right w:val="single" w:color="000000" w:sz="8" w:space="0"/>
            </w:tcBorders>
            <w:shd w:val="clear" w:color="auto" w:fill="auto"/>
            <w:vAlign w:val="center"/>
          </w:tcPr>
          <w:p w14:paraId="3A94BF8A">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1BBB86E3">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22B9D70B">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3578" w:type="pct"/>
            <w:gridSpan w:val="3"/>
            <w:tcBorders>
              <w:top w:val="single" w:color="auto" w:sz="8" w:space="0"/>
              <w:left w:val="nil"/>
              <w:bottom w:val="single" w:color="auto" w:sz="8" w:space="0"/>
              <w:right w:val="single" w:color="000000" w:sz="8" w:space="0"/>
            </w:tcBorders>
            <w:shd w:val="clear" w:color="auto" w:fill="auto"/>
            <w:vAlign w:val="center"/>
          </w:tcPr>
          <w:p w14:paraId="44D41913">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3B94027C">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1F36F1CE">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3578" w:type="pct"/>
            <w:gridSpan w:val="3"/>
            <w:tcBorders>
              <w:top w:val="single" w:color="auto" w:sz="8" w:space="0"/>
              <w:left w:val="nil"/>
              <w:bottom w:val="single" w:color="auto" w:sz="8" w:space="0"/>
              <w:right w:val="single" w:color="000000" w:sz="8" w:space="0"/>
            </w:tcBorders>
            <w:shd w:val="clear" w:color="auto" w:fill="auto"/>
            <w:vAlign w:val="center"/>
          </w:tcPr>
          <w:p w14:paraId="56DD2A15">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3F20A0AC">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6934A0">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43EF89A8">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15DF693B">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3578" w:type="pct"/>
            <w:gridSpan w:val="3"/>
            <w:tcBorders>
              <w:top w:val="single" w:color="auto" w:sz="8" w:space="0"/>
              <w:left w:val="nil"/>
              <w:bottom w:val="single" w:color="auto" w:sz="8" w:space="0"/>
              <w:right w:val="single" w:color="000000" w:sz="8" w:space="0"/>
            </w:tcBorders>
            <w:shd w:val="clear" w:color="auto" w:fill="auto"/>
            <w:vAlign w:val="center"/>
          </w:tcPr>
          <w:p w14:paraId="7C598C40">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22FEB2C9">
        <w:tblPrEx>
          <w:tblCellMar>
            <w:top w:w="0" w:type="dxa"/>
            <w:left w:w="108" w:type="dxa"/>
            <w:bottom w:w="0" w:type="dxa"/>
            <w:right w:w="108" w:type="dxa"/>
          </w:tblCellMar>
        </w:tblPrEx>
        <w:trPr>
          <w:trHeight w:val="567" w:hRule="atLeast"/>
        </w:trPr>
        <w:tc>
          <w:tcPr>
            <w:tcW w:w="1421" w:type="pct"/>
            <w:tcBorders>
              <w:top w:val="nil"/>
              <w:left w:val="single" w:color="auto" w:sz="8" w:space="0"/>
              <w:bottom w:val="single" w:color="auto" w:sz="8" w:space="0"/>
              <w:right w:val="single" w:color="auto" w:sz="8" w:space="0"/>
            </w:tcBorders>
            <w:shd w:val="clear" w:color="auto" w:fill="auto"/>
            <w:vAlign w:val="center"/>
          </w:tcPr>
          <w:p w14:paraId="0EDE9897">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3578" w:type="pct"/>
            <w:gridSpan w:val="3"/>
            <w:tcBorders>
              <w:top w:val="single" w:color="auto" w:sz="8" w:space="0"/>
              <w:left w:val="nil"/>
              <w:bottom w:val="single" w:color="auto" w:sz="8" w:space="0"/>
              <w:right w:val="single" w:color="000000" w:sz="8" w:space="0"/>
            </w:tcBorders>
            <w:shd w:val="clear" w:color="auto" w:fill="auto"/>
            <w:vAlign w:val="center"/>
          </w:tcPr>
          <w:p w14:paraId="460F9186">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14:paraId="69B698F2">
      <w:pPr>
        <w:spacing w:line="580" w:lineRule="exact"/>
        <w:ind w:firstLine="640" w:firstLineChars="200"/>
        <w:rPr>
          <w:rFonts w:ascii="Times New Roman" w:hAnsi="Times New Roman" w:eastAsia="仿宋_GB2312" w:cs="仿宋_GB2312"/>
          <w:color w:val="auto"/>
          <w:sz w:val="32"/>
          <w:szCs w:val="32"/>
        </w:rPr>
      </w:pPr>
      <w:r>
        <w:rPr>
          <w:rFonts w:hint="eastAsia" w:ascii="黑体" w:hAnsi="黑体" w:eastAsia="黑体" w:cs="黑体"/>
          <w:color w:val="auto"/>
          <w:sz w:val="32"/>
          <w:szCs w:val="32"/>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1CD6D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29570C4">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14:paraId="2037849E">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14:paraId="5DBE9E5E">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14:paraId="1F261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1D852640">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14:paraId="1AB20C35">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14:paraId="59B0E415">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14:paraId="6051A3B0">
            <w:pPr>
              <w:widowControl/>
              <w:jc w:val="center"/>
              <w:rPr>
                <w:rFonts w:ascii="黑体" w:hAnsi="黑体" w:eastAsia="黑体"/>
                <w:color w:val="auto"/>
                <w:szCs w:val="21"/>
              </w:rPr>
            </w:pPr>
            <w:r>
              <w:rPr>
                <w:rFonts w:hint="eastAsia" w:ascii="黑体" w:hAnsi="黑体" w:eastAsia="黑体"/>
                <w:color w:val="auto"/>
                <w:kern w:val="0"/>
                <w:szCs w:val="21"/>
              </w:rPr>
              <w:t>总计</w:t>
            </w:r>
          </w:p>
        </w:tc>
      </w:tr>
      <w:tr w14:paraId="194A9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DE5FBF4">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14:paraId="0CB35024">
            <w:pPr>
              <w:jc w:val="center"/>
              <w:rPr>
                <w:rFonts w:ascii="黑体" w:hAnsi="黑体" w:eastAsia="黑体"/>
                <w:color w:val="auto"/>
                <w:szCs w:val="21"/>
              </w:rPr>
            </w:pPr>
          </w:p>
        </w:tc>
        <w:tc>
          <w:tcPr>
            <w:tcW w:w="567" w:type="dxa"/>
            <w:shd w:val="clear" w:color="auto" w:fill="auto"/>
            <w:tcMar>
              <w:left w:w="108" w:type="dxa"/>
              <w:right w:w="108" w:type="dxa"/>
            </w:tcMar>
            <w:vAlign w:val="center"/>
          </w:tcPr>
          <w:p w14:paraId="3868DC62">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14:paraId="46158ADD">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14:paraId="21D99AAE">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14:paraId="0C11097C">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14:paraId="5DEC2572">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14:paraId="049EBD08">
            <w:pPr>
              <w:jc w:val="center"/>
              <w:rPr>
                <w:rFonts w:ascii="仿宋_GB2312" w:hAnsi="Times New Roman" w:eastAsia="仿宋_GB2312"/>
                <w:color w:val="auto"/>
                <w:szCs w:val="21"/>
              </w:rPr>
            </w:pPr>
          </w:p>
        </w:tc>
      </w:tr>
      <w:tr w14:paraId="40B2A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868D167">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14:paraId="7B1C5AC2">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3AE7759">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E72A607">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980F476">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28FCAD4B">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845A645">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BBC3BE6">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773B4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E561E1">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14:paraId="3B1D4F6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F82321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BF619E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6536ADB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5A799C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4B8647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142D96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D1D4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8374EE4">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14:paraId="45194FA5">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14:paraId="620A58B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53A5C9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DAF978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43A301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2C9A56D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4D6379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66516E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70A9A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65F693D">
            <w:pPr>
              <w:rPr>
                <w:rFonts w:ascii="黑体" w:hAnsi="黑体" w:eastAsia="黑体"/>
                <w:color w:val="auto"/>
                <w:szCs w:val="21"/>
              </w:rPr>
            </w:pPr>
          </w:p>
        </w:tc>
        <w:tc>
          <w:tcPr>
            <w:tcW w:w="4677" w:type="dxa"/>
            <w:gridSpan w:val="2"/>
            <w:shd w:val="clear" w:color="auto" w:fill="auto"/>
            <w:tcMar>
              <w:left w:w="108" w:type="dxa"/>
              <w:right w:w="108" w:type="dxa"/>
            </w:tcMar>
            <w:vAlign w:val="center"/>
          </w:tcPr>
          <w:p w14:paraId="48B0C172">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14:paraId="733D00C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0B9BFC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CAD96A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039BF1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5ECFDFC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EABEED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740564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21FF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20AD87">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5E050959">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14:paraId="704D7518">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14:paraId="7FDAE60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1D70E9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CCE7BE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052510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316738C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DABFD4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789D85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C843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5E85A9A">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BDB45FB">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47D7DFC2">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14:paraId="40FDCBD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397DF9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4DCE57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CD10FE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818A26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41B46F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8DDC6B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AECB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6E3551">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C0848AD">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6DE7E7E4">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14:paraId="41EC344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57E7A2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CC94BD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28B8D3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0F88BE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0E1E5B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3982FE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2B6E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5FC302B">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5C304C66">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4A9FC615">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14:paraId="2689BB7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CBE7D0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B7D1BE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DB98F3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28F17F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205873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8F86F9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9D3B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1AF8F01">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5335A06">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6C96688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14:paraId="3F02CF6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03C15E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E08478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4B1EFB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3F29090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AFB0C7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AE513A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3C78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C742FC0">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7404273">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74A5A7E6">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14:paraId="6BABC74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33DD46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172A0E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6D23C6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21A6F4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E32135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26BB88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92B0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0F92400">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434B708">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61444BF6">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14:paraId="50AAD58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E38198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BC4E8E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46800E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01049C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564334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84C4B4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3D63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19004A0">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ACF9B4E">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5B9C601A">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14:paraId="585E9CC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8AA1BB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189A47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30ED66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4022AD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96E1E9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182D3E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89BC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604FE49">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4055B522">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14:paraId="79FF721B">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14:paraId="34BDDEB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2BE993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A49DBF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823F8B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7BB43B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390BB2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A460DE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0B80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0A1B9A">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AB8742F">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14:paraId="64805AA8">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14:paraId="64EC22A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27DA38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9F7F5E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8C12B5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81EC10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638D8B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BD5DE6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3D6F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591A8CE">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C687A4F">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14:paraId="7273E50A">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14:paraId="25C451F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553957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EB9827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088D87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01E061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993FAA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6BD418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998C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13B2161">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2EBD011D">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14:paraId="06B5CECB">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14:paraId="09DDD30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87A498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229CAD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BD494D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B118A9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DBE283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0A7F74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D961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2A498C6">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D536AAB">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3ECDB1EE">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14:paraId="3F5AEB9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C81552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7E81A5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6691B98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55FD940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6235A7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A7EF61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ED7C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6C6767E">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B68D4B3">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19C37729">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14:paraId="4559E6E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3C50CF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6FA876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49FD2A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BA6A0B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5C78A3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17D94C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5343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5B09174">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1C4CFF34">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2AA4E19E">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14:paraId="0D8BC8B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4762FB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11F6A0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4D6365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5278395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088106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BE53A0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492E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4C08B8F">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68FD1B7">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178D1D4C">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14:paraId="30021EF7">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14:paraId="320E7E2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00A8BF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9E616A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57E260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3A250C2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D6D741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B5F170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7B2D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473E94">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0BB035D5">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14:paraId="060C121A">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14:paraId="1C1CB84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EF5AEB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614EF1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5F659A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45A25B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E27C28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08A629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664BF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0477CCD">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6D9475B">
            <w:pPr>
              <w:widowControl/>
              <w:spacing w:line="300" w:lineRule="exact"/>
              <w:rPr>
                <w:rFonts w:ascii="黑体" w:hAnsi="黑体" w:eastAsia="黑体"/>
                <w:color w:val="auto"/>
                <w:kern w:val="0"/>
                <w:szCs w:val="21"/>
              </w:rPr>
            </w:pPr>
          </w:p>
        </w:tc>
        <w:tc>
          <w:tcPr>
            <w:tcW w:w="2976" w:type="dxa"/>
            <w:shd w:val="clear" w:color="auto" w:fill="auto"/>
            <w:vAlign w:val="center"/>
          </w:tcPr>
          <w:p w14:paraId="7C5619EC">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0F34FB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97AFCB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F6269A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195A10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DF61BD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61AE34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AA93F9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D6DE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EF5748">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5634DF2">
            <w:pPr>
              <w:widowControl/>
              <w:spacing w:line="300" w:lineRule="exact"/>
              <w:rPr>
                <w:rFonts w:ascii="黑体" w:hAnsi="黑体" w:eastAsia="黑体"/>
                <w:color w:val="auto"/>
                <w:kern w:val="0"/>
                <w:szCs w:val="21"/>
              </w:rPr>
            </w:pPr>
          </w:p>
        </w:tc>
        <w:tc>
          <w:tcPr>
            <w:tcW w:w="2976" w:type="dxa"/>
            <w:shd w:val="clear" w:color="auto" w:fill="auto"/>
            <w:vAlign w:val="center"/>
          </w:tcPr>
          <w:p w14:paraId="7996A26B">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14:paraId="2736813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F1B0B9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C5AF9E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B9F780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DA35BB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1804E3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411763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60CE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D433D3E">
            <w:pPr>
              <w:rPr>
                <w:rFonts w:ascii="黑体" w:hAnsi="黑体" w:eastAsia="黑体"/>
                <w:color w:val="auto"/>
                <w:szCs w:val="21"/>
              </w:rPr>
            </w:pPr>
          </w:p>
        </w:tc>
        <w:tc>
          <w:tcPr>
            <w:tcW w:w="4677" w:type="dxa"/>
            <w:gridSpan w:val="2"/>
            <w:shd w:val="clear" w:color="auto" w:fill="auto"/>
            <w:tcMar>
              <w:left w:w="108" w:type="dxa"/>
              <w:right w:w="108" w:type="dxa"/>
            </w:tcMar>
            <w:vAlign w:val="center"/>
          </w:tcPr>
          <w:p w14:paraId="0A5B29A0">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14:paraId="722F36E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E309BB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82DFD2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264E67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35125C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1927E9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EA912F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4B7A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56D65230">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14:paraId="65D6753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F80D95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191B23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58DE9D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2B72802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1757F3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41F8B55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bl>
    <w:p w14:paraId="3D124583">
      <w:pPr>
        <w:spacing w:line="560" w:lineRule="exact"/>
        <w:ind w:firstLine="640" w:firstLineChars="200"/>
        <w:rPr>
          <w:rFonts w:ascii="Times New Roman" w:hAnsi="Times New Roman" w:eastAsia="仿宋_GB2312" w:cs="仿宋_GB2312"/>
          <w:color w:val="auto"/>
          <w:sz w:val="32"/>
          <w:szCs w:val="32"/>
        </w:rPr>
      </w:pPr>
      <w:r>
        <w:rPr>
          <w:rFonts w:hint="eastAsia" w:ascii="黑体" w:hAnsi="黑体" w:eastAsia="黑体" w:cs="黑体"/>
          <w:color w:val="auto"/>
          <w:sz w:val="32"/>
          <w:szCs w:val="32"/>
        </w:rPr>
        <w:t>四、政府信息公开行政复议、行政诉讼情况</w:t>
      </w:r>
    </w:p>
    <w:tbl>
      <w:tblPr>
        <w:tblStyle w:val="7"/>
        <w:tblW w:w="98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40"/>
        <w:gridCol w:w="604"/>
        <w:gridCol w:w="604"/>
        <w:gridCol w:w="604"/>
        <w:gridCol w:w="658"/>
        <w:gridCol w:w="550"/>
        <w:gridCol w:w="605"/>
        <w:gridCol w:w="605"/>
        <w:gridCol w:w="605"/>
        <w:gridCol w:w="605"/>
        <w:gridCol w:w="605"/>
        <w:gridCol w:w="605"/>
        <w:gridCol w:w="605"/>
        <w:gridCol w:w="606"/>
        <w:gridCol w:w="979"/>
      </w:tblGrid>
      <w:tr w14:paraId="623883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5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28A2C18">
            <w:pPr>
              <w:widowControl/>
              <w:jc w:val="center"/>
              <w:rPr>
                <w:rFonts w:ascii="黑体" w:hAnsi="黑体" w:eastAsia="黑体"/>
                <w:color w:val="auto"/>
              </w:rPr>
            </w:pPr>
            <w:r>
              <w:rPr>
                <w:rFonts w:ascii="黑体" w:hAnsi="黑体" w:eastAsia="黑体"/>
                <w:color w:val="auto"/>
                <w:kern w:val="0"/>
                <w:sz w:val="20"/>
                <w:szCs w:val="20"/>
              </w:rPr>
              <w:t>行政复议</w:t>
            </w:r>
          </w:p>
        </w:tc>
        <w:tc>
          <w:tcPr>
            <w:tcW w:w="63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D8BE21">
            <w:pPr>
              <w:widowControl/>
              <w:jc w:val="center"/>
              <w:rPr>
                <w:rFonts w:ascii="黑体" w:hAnsi="黑体" w:eastAsia="黑体"/>
                <w:color w:val="auto"/>
              </w:rPr>
            </w:pPr>
            <w:r>
              <w:rPr>
                <w:rFonts w:ascii="黑体" w:hAnsi="黑体" w:eastAsia="黑体"/>
                <w:color w:val="auto"/>
                <w:kern w:val="0"/>
                <w:sz w:val="20"/>
                <w:szCs w:val="20"/>
              </w:rPr>
              <w:t>行政诉讼</w:t>
            </w:r>
          </w:p>
        </w:tc>
      </w:tr>
      <w:tr w14:paraId="4E2A4E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104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5C9436">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14:paraId="1485ACA4">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3C1C069">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CA631E">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A05DD6">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14:paraId="27D87B5F">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925526">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14:paraId="3280906A">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0751CE">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40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DF7A08">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14:paraId="590926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04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30083B">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84CBFE7">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601738">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3DD93EB">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DB1782">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514086">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92764A9">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F3A0EE">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14:paraId="263F03E0">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A2E7E1">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14:paraId="54C1FF7E">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D2A3CA">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DC7AD8">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474BD6">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14:paraId="090FB0C7">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CE8EE8">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14:paraId="06B336E2">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87DB27">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9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594F0A">
            <w:pPr>
              <w:widowControl/>
              <w:jc w:val="center"/>
              <w:rPr>
                <w:rFonts w:ascii="黑体" w:hAnsi="黑体" w:eastAsia="黑体"/>
                <w:color w:val="auto"/>
              </w:rPr>
            </w:pPr>
            <w:r>
              <w:rPr>
                <w:rFonts w:ascii="黑体" w:hAnsi="黑体" w:eastAsia="黑体"/>
                <w:color w:val="auto"/>
                <w:kern w:val="0"/>
                <w:sz w:val="20"/>
                <w:szCs w:val="20"/>
              </w:rPr>
              <w:t>总计</w:t>
            </w:r>
          </w:p>
        </w:tc>
      </w:tr>
      <w:tr w14:paraId="1B1C3D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A7CE6A">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73C3C8D">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9271D1C">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3A27F05">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06258BB">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AA69816">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C80C45F">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0708F63">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78C7C7C">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D1E1582">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51C8A93">
            <w:pPr>
              <w:widowControl/>
              <w:spacing w:after="180"/>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CF47A88">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90D4E5D">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8E5FE68">
            <w:pPr>
              <w:widowControl/>
              <w:spacing w:after="180"/>
              <w:jc w:val="center"/>
              <w:rPr>
                <w:rFonts w:ascii="Times New Roman" w:hAnsi="Times New Roman"/>
                <w:color w:val="auto"/>
              </w:rPr>
            </w:pPr>
            <w:r>
              <w:rPr>
                <w:rFonts w:hint="eastAsia" w:ascii="Times New Roman" w:hAnsi="Times New Roman"/>
                <w:color w:val="auto"/>
                <w:lang w:val="en-US" w:eastAsia="zh-CN"/>
              </w:rPr>
              <w:t>0</w:t>
            </w:r>
          </w:p>
        </w:tc>
        <w:tc>
          <w:tcPr>
            <w:tcW w:w="979" w:type="dxa"/>
            <w:tcBorders>
              <w:top w:val="nil"/>
              <w:left w:val="nil"/>
              <w:bottom w:val="single" w:color="auto" w:sz="8" w:space="0"/>
              <w:right w:val="single" w:color="auto" w:sz="8" w:space="0"/>
            </w:tcBorders>
            <w:shd w:val="clear" w:color="auto" w:fill="auto"/>
            <w:tcMar>
              <w:left w:w="108" w:type="dxa"/>
              <w:right w:w="108" w:type="dxa"/>
            </w:tcMar>
            <w:vAlign w:val="center"/>
          </w:tcPr>
          <w:p w14:paraId="563CC056">
            <w:pPr>
              <w:widowControl/>
              <w:spacing w:after="180"/>
              <w:jc w:val="center"/>
              <w:rPr>
                <w:rFonts w:ascii="Times New Roman" w:hAnsi="Times New Roman"/>
                <w:color w:val="auto"/>
              </w:rPr>
            </w:pPr>
            <w:r>
              <w:rPr>
                <w:rFonts w:hint="eastAsia" w:ascii="Times New Roman" w:hAnsi="Times New Roman"/>
                <w:color w:val="auto"/>
                <w:lang w:val="en-US" w:eastAsia="zh-CN"/>
              </w:rPr>
              <w:t>0</w:t>
            </w:r>
          </w:p>
        </w:tc>
      </w:tr>
    </w:tbl>
    <w:p w14:paraId="462F75EC">
      <w:pPr>
        <w:spacing w:line="560" w:lineRule="exact"/>
        <w:ind w:firstLine="640" w:firstLineChars="200"/>
        <w:rPr>
          <w:rFonts w:ascii="Times New Roman" w:hAnsi="Times New Roman" w:eastAsia="仿宋_GB2312" w:cs="仿宋_GB2312"/>
          <w:color w:val="auto"/>
          <w:sz w:val="32"/>
          <w:szCs w:val="32"/>
        </w:rPr>
      </w:pPr>
    </w:p>
    <w:p w14:paraId="5DACFFF7">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14:paraId="7BB61D76">
      <w:pPr>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医院信息公开工作取得了一定进步，但是与上级的要求还存在差距和不足。主要表现为：</w:t>
      </w:r>
      <w:r>
        <w:rPr>
          <w:rFonts w:hint="eastAsia" w:ascii="仿宋_GB2312" w:hAnsi="仿宋_GB2312" w:eastAsia="仿宋_GB2312" w:cs="仿宋_GB2312"/>
          <w:color w:val="000000"/>
          <w:sz w:val="32"/>
          <w:szCs w:val="32"/>
          <w:shd w:val="clear" w:color="auto" w:fill="FFFFFF"/>
          <w:lang w:val="en-US" w:eastAsia="zh-CN"/>
        </w:rPr>
        <w:t>一是主动公开</w:t>
      </w:r>
      <w:r>
        <w:rPr>
          <w:rFonts w:hint="eastAsia" w:ascii="仿宋_GB2312" w:hAnsi="仿宋_GB2312" w:eastAsia="仿宋_GB2312" w:cs="仿宋_GB2312"/>
          <w:color w:val="000000"/>
          <w:sz w:val="32"/>
          <w:szCs w:val="32"/>
          <w:shd w:val="clear" w:color="auto" w:fill="FFFFFF"/>
        </w:rPr>
        <w:t>不及时，</w:t>
      </w:r>
      <w:r>
        <w:rPr>
          <w:rFonts w:hint="eastAsia" w:ascii="仿宋_GB2312" w:hAnsi="仿宋_GB2312" w:eastAsia="仿宋_GB2312" w:cs="仿宋_GB2312"/>
          <w:color w:val="000000"/>
          <w:sz w:val="32"/>
          <w:szCs w:val="32"/>
          <w:shd w:val="clear" w:color="auto" w:fill="FFFFFF"/>
          <w:lang w:val="en-US" w:eastAsia="zh-CN"/>
        </w:rPr>
        <w:t>能及时公开医院各类信息，但对各类其他民生类政策公开宣传不够，二是</w:t>
      </w:r>
      <w:r>
        <w:rPr>
          <w:rFonts w:hint="eastAsia" w:ascii="仿宋_GB2312" w:hAnsi="仿宋_GB2312" w:eastAsia="仿宋_GB2312" w:cs="仿宋_GB2312"/>
          <w:color w:val="000000"/>
          <w:sz w:val="32"/>
          <w:szCs w:val="32"/>
          <w:shd w:val="clear" w:color="auto" w:fill="FFFFFF"/>
        </w:rPr>
        <w:t>信息公开内容形式单一</w:t>
      </w:r>
      <w:r>
        <w:rPr>
          <w:rFonts w:hint="eastAsia" w:ascii="仿宋_GB2312" w:hAnsi="仿宋_GB2312" w:eastAsia="仿宋_GB2312" w:cs="仿宋_GB2312"/>
          <w:color w:val="000000"/>
          <w:sz w:val="32"/>
          <w:szCs w:val="32"/>
          <w:shd w:val="clear" w:color="auto" w:fill="FFFFFF"/>
          <w:lang w:val="en-US" w:eastAsia="zh-CN"/>
        </w:rPr>
        <w:t>，公开形式不够丰富多样</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三是信息公开还需要专业性指导，以便更好的做好信息公开工作。</w:t>
      </w:r>
    </w:p>
    <w:p w14:paraId="6AD6EE31">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下一步将认真总结经验、创新工作方法，做好政府信息公开工作。主要采取以下措施：一是</w:t>
      </w:r>
      <w:r>
        <w:rPr>
          <w:rFonts w:hint="eastAsia" w:ascii="仿宋_GB2312" w:hAnsi="仿宋_GB2312" w:eastAsia="仿宋_GB2312" w:cs="仿宋_GB2312"/>
          <w:color w:val="000000"/>
          <w:sz w:val="32"/>
          <w:szCs w:val="32"/>
          <w:shd w:val="clear" w:color="auto" w:fill="FFFFFF"/>
          <w:lang w:val="en-US" w:eastAsia="zh-CN"/>
        </w:rPr>
        <w:t>及时主动公开，做好门户网站建设和维护工作。二是</w:t>
      </w:r>
      <w:r>
        <w:rPr>
          <w:rFonts w:hint="eastAsia" w:ascii="仿宋_GB2312" w:hAnsi="仿宋_GB2312" w:eastAsia="仿宋_GB2312" w:cs="仿宋_GB2312"/>
          <w:color w:val="000000"/>
          <w:sz w:val="32"/>
          <w:szCs w:val="32"/>
          <w:shd w:val="clear" w:color="auto" w:fill="FFFFFF"/>
        </w:rPr>
        <w:t>进一步丰富</w:t>
      </w:r>
      <w:r>
        <w:rPr>
          <w:rFonts w:hint="eastAsia" w:ascii="仿宋_GB2312" w:hAnsi="仿宋_GB2312" w:eastAsia="仿宋_GB2312" w:cs="仿宋_GB2312"/>
          <w:color w:val="000000"/>
          <w:sz w:val="32"/>
          <w:szCs w:val="32"/>
          <w:shd w:val="clear" w:color="auto" w:fill="FFFFFF"/>
          <w:lang w:val="en-US" w:eastAsia="zh-CN"/>
        </w:rPr>
        <w:t>信息公开和</w:t>
      </w:r>
      <w:r>
        <w:rPr>
          <w:rFonts w:hint="eastAsia" w:ascii="仿宋_GB2312" w:hAnsi="仿宋_GB2312" w:eastAsia="仿宋_GB2312" w:cs="仿宋_GB2312"/>
          <w:color w:val="000000"/>
          <w:sz w:val="32"/>
          <w:szCs w:val="32"/>
          <w:shd w:val="clear" w:color="auto" w:fill="FFFFFF"/>
        </w:rPr>
        <w:t>政策解读形式</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rPr>
        <w:t>是进一步规范医疗卫生机构信息公开。</w:t>
      </w:r>
    </w:p>
    <w:p w14:paraId="54ACD238">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医院下一步将</w:t>
      </w:r>
      <w:r>
        <w:rPr>
          <w:rFonts w:hint="eastAsia" w:ascii="仿宋_GB2312" w:hAnsi="仿宋_GB2312" w:eastAsia="仿宋_GB2312" w:cs="仿宋_GB2312"/>
          <w:color w:val="000000"/>
          <w:sz w:val="32"/>
          <w:szCs w:val="32"/>
          <w:shd w:val="clear" w:color="auto" w:fill="FFFFFF"/>
        </w:rPr>
        <w:t>认真落实好</w:t>
      </w:r>
      <w:r>
        <w:rPr>
          <w:rFonts w:hint="eastAsia" w:ascii="仿宋_GB2312" w:hAnsi="仿宋_GB2312" w:eastAsia="仿宋_GB2312" w:cs="仿宋_GB2312"/>
          <w:color w:val="000000"/>
          <w:sz w:val="32"/>
          <w:szCs w:val="32"/>
          <w:shd w:val="clear" w:color="auto" w:fill="FFFFFF"/>
          <w:lang w:val="en-US" w:eastAsia="zh-CN"/>
        </w:rPr>
        <w:t>关于</w:t>
      </w:r>
      <w:r>
        <w:rPr>
          <w:rFonts w:hint="eastAsia" w:ascii="仿宋_GB2312" w:hAnsi="仿宋_GB2312" w:eastAsia="仿宋_GB2312" w:cs="仿宋_GB2312"/>
          <w:color w:val="000000"/>
          <w:sz w:val="32"/>
          <w:szCs w:val="32"/>
          <w:shd w:val="clear" w:color="auto" w:fill="FFFFFF"/>
        </w:rPr>
        <w:t>医疗卫生机构信息公开管理的相关规定，</w:t>
      </w:r>
      <w:r>
        <w:rPr>
          <w:rFonts w:hint="eastAsia" w:ascii="仿宋_GB2312" w:hAnsi="仿宋_GB2312" w:eastAsia="仿宋_GB2312" w:cs="仿宋_GB2312"/>
          <w:color w:val="000000"/>
          <w:sz w:val="32"/>
          <w:szCs w:val="32"/>
          <w:shd w:val="clear" w:color="auto" w:fill="FFFFFF"/>
          <w:lang w:val="en-US" w:eastAsia="zh-CN"/>
        </w:rPr>
        <w:t>做好医院信息公开工作</w:t>
      </w:r>
      <w:r>
        <w:rPr>
          <w:rFonts w:hint="eastAsia" w:ascii="仿宋_GB2312" w:hAnsi="仿宋_GB2312" w:eastAsia="仿宋_GB2312" w:cs="仿宋_GB2312"/>
          <w:color w:val="000000"/>
          <w:sz w:val="32"/>
          <w:szCs w:val="32"/>
          <w:shd w:val="clear" w:color="auto" w:fill="FFFFFF"/>
        </w:rPr>
        <w:t>，不断提升人民群众卫生健康服务体验。</w:t>
      </w:r>
    </w:p>
    <w:p w14:paraId="0540E081">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六、其他需要报告的事项</w:t>
      </w:r>
    </w:p>
    <w:p w14:paraId="738F428F">
      <w:pPr>
        <w:numPr>
          <w:ilvl w:val="0"/>
          <w:numId w:val="0"/>
        </w:numPr>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按照《国务院办公厅关于印发〈政府信息公开信息处理费管理办法〉的通知》（国办函﹝2020﹞109号）规定的按件、按量收费标准，202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年度</w:t>
      </w:r>
      <w:r>
        <w:rPr>
          <w:rFonts w:hint="eastAsia" w:ascii="Times New Roman" w:hAnsi="Times New Roman" w:eastAsia="仿宋_GB2312" w:cs="仿宋_GB2312"/>
          <w:color w:val="auto"/>
          <w:sz w:val="32"/>
          <w:szCs w:val="32"/>
          <w:lang w:eastAsia="zh-CN"/>
        </w:rPr>
        <w:t>我院</w:t>
      </w:r>
      <w:r>
        <w:rPr>
          <w:rFonts w:hint="eastAsia" w:ascii="Times New Roman" w:hAnsi="Times New Roman" w:eastAsia="仿宋_GB2312" w:cs="仿宋_GB2312"/>
          <w:color w:val="auto"/>
          <w:sz w:val="32"/>
          <w:szCs w:val="32"/>
        </w:rPr>
        <w:t>没有产生信息公开处理费。</w:t>
      </w:r>
    </w:p>
    <w:p w14:paraId="66F341FE">
      <w:pPr>
        <w:numPr>
          <w:ilvl w:val="0"/>
          <w:numId w:val="0"/>
        </w:numPr>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根据</w:t>
      </w:r>
      <w:r>
        <w:rPr>
          <w:rFonts w:hint="eastAsia" w:ascii="Times New Roman" w:hAnsi="Times New Roman" w:eastAsia="仿宋_GB2312" w:cs="仿宋_GB2312"/>
          <w:color w:val="auto"/>
          <w:sz w:val="32"/>
          <w:szCs w:val="32"/>
          <w:lang w:eastAsia="zh-CN"/>
        </w:rPr>
        <w:t>省、市</w:t>
      </w:r>
      <w:r>
        <w:rPr>
          <w:rFonts w:hint="eastAsia" w:ascii="Times New Roman" w:hAnsi="Times New Roman" w:eastAsia="仿宋_GB2312" w:cs="仿宋_GB2312"/>
          <w:color w:val="auto"/>
          <w:sz w:val="32"/>
          <w:szCs w:val="32"/>
        </w:rPr>
        <w:t>政</w:t>
      </w:r>
      <w:r>
        <w:rPr>
          <w:rFonts w:hint="eastAsia" w:ascii="Times New Roman" w:hAnsi="Times New Roman" w:eastAsia="仿宋_GB2312" w:cs="仿宋_GB2312"/>
          <w:color w:val="auto"/>
          <w:sz w:val="32"/>
          <w:szCs w:val="32"/>
          <w:lang w:eastAsia="zh-CN"/>
        </w:rPr>
        <w:t>务</w:t>
      </w:r>
      <w:r>
        <w:rPr>
          <w:rFonts w:hint="eastAsia" w:ascii="Times New Roman" w:hAnsi="Times New Roman" w:eastAsia="仿宋_GB2312" w:cs="仿宋_GB2312"/>
          <w:color w:val="auto"/>
          <w:sz w:val="32"/>
          <w:szCs w:val="32"/>
        </w:rPr>
        <w:t>信息公开</w:t>
      </w:r>
      <w:r>
        <w:rPr>
          <w:rFonts w:hint="eastAsia" w:ascii="Times New Roman" w:hAnsi="Times New Roman" w:eastAsia="仿宋_GB2312" w:cs="仿宋_GB2312"/>
          <w:color w:val="auto"/>
          <w:sz w:val="32"/>
          <w:szCs w:val="32"/>
          <w:lang w:eastAsia="zh-CN"/>
        </w:rPr>
        <w:t>工作</w:t>
      </w:r>
      <w:r>
        <w:rPr>
          <w:rFonts w:hint="eastAsia" w:ascii="Times New Roman" w:hAnsi="Times New Roman" w:eastAsia="仿宋_GB2312" w:cs="仿宋_GB2312"/>
          <w:color w:val="auto"/>
          <w:sz w:val="32"/>
          <w:szCs w:val="32"/>
        </w:rPr>
        <w:t>的部署和要求，我院加强组织领导，制定了</w:t>
      </w:r>
      <w:r>
        <w:rPr>
          <w:rFonts w:hint="eastAsia" w:ascii="Times New Roman" w:hAnsi="Times New Roman" w:eastAsia="仿宋_GB2312" w:cs="仿宋_GB2312"/>
          <w:color w:val="auto"/>
          <w:sz w:val="32"/>
          <w:szCs w:val="32"/>
          <w:lang w:eastAsia="zh-CN"/>
        </w:rPr>
        <w:t>《</w:t>
      </w:r>
      <w:r>
        <w:rPr>
          <w:rFonts w:hint="eastAsia" w:ascii="仿宋_GB2312" w:hAnsi="仿宋_GB2312" w:eastAsia="仿宋_GB2312" w:cs="仿宋_GB2312"/>
          <w:color w:val="auto"/>
          <w:sz w:val="32"/>
          <w:szCs w:val="32"/>
        </w:rPr>
        <w:t>东营市</w:t>
      </w:r>
      <w:r>
        <w:rPr>
          <w:rFonts w:hint="eastAsia" w:ascii="仿宋_GB2312" w:hAnsi="仿宋_GB2312" w:eastAsia="仿宋_GB2312" w:cs="仿宋_GB2312"/>
          <w:color w:val="auto"/>
          <w:sz w:val="32"/>
          <w:szCs w:val="32"/>
          <w:lang w:val="en-US" w:eastAsia="zh-CN"/>
        </w:rPr>
        <w:t>第二人民医院</w:t>
      </w:r>
      <w:r>
        <w:rPr>
          <w:rFonts w:hint="eastAsia" w:ascii="仿宋_GB2312" w:hAnsi="仿宋_GB2312" w:eastAsia="仿宋_GB2312" w:cs="仿宋_GB2312"/>
          <w:color w:val="auto"/>
          <w:sz w:val="32"/>
          <w:szCs w:val="32"/>
        </w:rPr>
        <w:t>信息公开工作制度》</w:t>
      </w:r>
      <w:r>
        <w:rPr>
          <w:rFonts w:hint="eastAsia" w:ascii="Times New Roman" w:hAnsi="Times New Roman" w:eastAsia="仿宋_GB2312" w:cs="仿宋_GB2312"/>
          <w:color w:val="auto"/>
          <w:sz w:val="32"/>
          <w:szCs w:val="32"/>
        </w:rPr>
        <w:t>，对医院信息公开工作进行了</w:t>
      </w:r>
      <w:r>
        <w:rPr>
          <w:rFonts w:hint="eastAsia" w:ascii="Times New Roman" w:hAnsi="Times New Roman" w:eastAsia="仿宋_GB2312" w:cs="仿宋_GB2312"/>
          <w:color w:val="auto"/>
          <w:sz w:val="32"/>
          <w:szCs w:val="32"/>
          <w:lang w:eastAsia="zh-CN"/>
        </w:rPr>
        <w:t>细化和</w:t>
      </w:r>
      <w:r>
        <w:rPr>
          <w:rFonts w:hint="eastAsia" w:ascii="Times New Roman" w:hAnsi="Times New Roman" w:eastAsia="仿宋_GB2312" w:cs="仿宋_GB2312"/>
          <w:color w:val="auto"/>
          <w:sz w:val="32"/>
          <w:szCs w:val="32"/>
        </w:rPr>
        <w:t>分工，</w:t>
      </w:r>
      <w:r>
        <w:rPr>
          <w:rFonts w:hint="eastAsia" w:ascii="Times New Roman" w:hAnsi="Times New Roman" w:eastAsia="仿宋_GB2312" w:cs="仿宋_GB2312"/>
          <w:color w:val="auto"/>
          <w:sz w:val="32"/>
          <w:szCs w:val="32"/>
          <w:lang w:eastAsia="zh-CN"/>
        </w:rPr>
        <w:t>由院领导班子</w:t>
      </w:r>
      <w:r>
        <w:rPr>
          <w:rFonts w:hint="eastAsia" w:ascii="Times New Roman" w:hAnsi="Times New Roman" w:eastAsia="仿宋_GB2312" w:cs="仿宋_GB2312"/>
          <w:color w:val="auto"/>
          <w:sz w:val="32"/>
          <w:szCs w:val="32"/>
        </w:rPr>
        <w:t>层层抓落实，做到了职责明确、办事公开、程序透明、定期</w:t>
      </w:r>
      <w:r>
        <w:rPr>
          <w:rFonts w:hint="eastAsia" w:ascii="Times New Roman" w:hAnsi="Times New Roman" w:eastAsia="仿宋_GB2312" w:cs="仿宋_GB2312"/>
          <w:color w:val="auto"/>
          <w:sz w:val="32"/>
          <w:szCs w:val="32"/>
          <w:lang w:eastAsia="zh-CN"/>
        </w:rPr>
        <w:t>督查；根据</w:t>
      </w:r>
      <w:r>
        <w:rPr>
          <w:rFonts w:hint="eastAsia" w:ascii="仿宋_GB2312" w:hAnsi="仿宋_GB2312" w:eastAsia="仿宋_GB2312" w:cs="仿宋_GB2312"/>
          <w:color w:val="auto"/>
          <w:sz w:val="32"/>
          <w:szCs w:val="32"/>
          <w:lang w:eastAsia="zh-CN"/>
        </w:rPr>
        <w:t>卫生健康领域企事业单位信息</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lang w:eastAsia="zh-CN"/>
        </w:rPr>
        <w:t>定期开展自查，将机构人员信息、医疗服务项目、药品价格、就诊须知、健康科普等信息做到“应公开尽公开”；强化舆情引导意识，及时回应群众关切。</w:t>
      </w:r>
      <w:r>
        <w:rPr>
          <w:rFonts w:hint="eastAsia" w:ascii="Times New Roman" w:hAnsi="Times New Roman" w:eastAsia="仿宋_GB2312" w:cs="仿宋_GB2312"/>
          <w:color w:val="auto"/>
          <w:sz w:val="32"/>
          <w:szCs w:val="32"/>
        </w:rPr>
        <w:t>通过多项举措逐步规范医院各项行为，努力营造的和谐医患关系。</w:t>
      </w:r>
    </w:p>
    <w:p w14:paraId="00A0AA1E">
      <w:pPr>
        <w:numPr>
          <w:ilvl w:val="0"/>
          <w:numId w:val="0"/>
        </w:numPr>
        <w:spacing w:line="56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3.2023年我院没有收到有关人大代表建议和政协提案事项。</w:t>
      </w:r>
    </w:p>
    <w:p w14:paraId="60841973">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建立政务信息公开工作自查整改机制和审核机制。各科室对将要公示的信息内容进行交叉互查，对暴露的</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color w:val="auto"/>
          <w:sz w:val="32"/>
          <w:szCs w:val="32"/>
          <w:lang w:eastAsia="zh-CN"/>
        </w:rPr>
        <w:t>立整立改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确保信息的准确性和权威性，互查后由分管领导和主要领导审核方可对外公示，环环相扣，</w:t>
      </w:r>
      <w:r>
        <w:rPr>
          <w:rFonts w:hint="eastAsia" w:ascii="仿宋_GB2312" w:hAnsi="仿宋_GB2312" w:eastAsia="仿宋_GB2312" w:cs="仿宋_GB2312"/>
          <w:color w:val="auto"/>
          <w:sz w:val="32"/>
          <w:szCs w:val="32"/>
        </w:rPr>
        <w:t>使政务</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公开工作更加扎实。</w:t>
      </w:r>
    </w:p>
    <w:p w14:paraId="395BB94B">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5.年度报告数据统计统计期限自202</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年1月1日起至202</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年12月31日止。</w:t>
      </w:r>
    </w:p>
    <w:p w14:paraId="2F4D17C4">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6.我</w:t>
      </w:r>
      <w:r>
        <w:rPr>
          <w:rFonts w:hint="eastAsia" w:ascii="仿宋_GB2312" w:hAnsi="仿宋_GB2312" w:eastAsia="仿宋_GB2312" w:cs="仿宋_GB2312"/>
          <w:color w:val="auto"/>
          <w:sz w:val="32"/>
          <w:szCs w:val="32"/>
          <w:lang w:val="en-US" w:eastAsia="zh-CN"/>
        </w:rPr>
        <w:t>院</w:t>
      </w:r>
      <w:r>
        <w:rPr>
          <w:rFonts w:hint="default" w:ascii="仿宋_GB2312" w:hAnsi="仿宋_GB2312" w:eastAsia="仿宋_GB2312" w:cs="仿宋_GB2312"/>
          <w:color w:val="auto"/>
          <w:sz w:val="32"/>
          <w:szCs w:val="32"/>
          <w:lang w:val="en-US" w:eastAsia="zh-CN"/>
        </w:rPr>
        <w:t>无需要报告的其他事项；</w:t>
      </w:r>
    </w:p>
    <w:p w14:paraId="16C9FC64">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7.我</w:t>
      </w:r>
      <w:r>
        <w:rPr>
          <w:rFonts w:hint="eastAsia" w:ascii="仿宋_GB2312" w:hAnsi="仿宋_GB2312" w:eastAsia="仿宋_GB2312" w:cs="仿宋_GB2312"/>
          <w:color w:val="auto"/>
          <w:sz w:val="32"/>
          <w:szCs w:val="32"/>
          <w:lang w:val="en-US" w:eastAsia="zh-CN"/>
        </w:rPr>
        <w:t>院</w:t>
      </w:r>
      <w:r>
        <w:rPr>
          <w:rFonts w:hint="default" w:ascii="仿宋_GB2312" w:hAnsi="仿宋_GB2312" w:eastAsia="仿宋_GB2312" w:cs="仿宋_GB2312"/>
          <w:color w:val="auto"/>
          <w:sz w:val="32"/>
          <w:szCs w:val="32"/>
          <w:lang w:val="en-US" w:eastAsia="zh-CN"/>
        </w:rPr>
        <w:t>无其他</w:t>
      </w:r>
      <w:bookmarkStart w:id="10" w:name="_GoBack"/>
      <w:bookmarkEnd w:id="10"/>
      <w:r>
        <w:rPr>
          <w:rFonts w:hint="default" w:ascii="仿宋_GB2312" w:hAnsi="仿宋_GB2312" w:eastAsia="仿宋_GB2312" w:cs="仿宋_GB2312"/>
          <w:color w:val="auto"/>
          <w:sz w:val="32"/>
          <w:szCs w:val="32"/>
          <w:lang w:val="en-US" w:eastAsia="zh-CN"/>
        </w:rPr>
        <w:t>有关文件专门要求通过政府信息公开工作年度报告的事项。</w:t>
      </w:r>
    </w:p>
    <w:p w14:paraId="70ABCA48">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p>
    <w:p w14:paraId="1D432C0F">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p>
    <w:p w14:paraId="71D49396">
      <w:pPr>
        <w:keepNext w:val="0"/>
        <w:keepLines w:val="0"/>
        <w:pageBreakBefore w:val="0"/>
        <w:kinsoku/>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东营市第二人民医院</w:t>
      </w:r>
    </w:p>
    <w:p w14:paraId="5B620E48">
      <w:pPr>
        <w:keepNext w:val="0"/>
        <w:keepLines w:val="0"/>
        <w:pageBreakBefore w:val="0"/>
        <w:kinsoku/>
        <w:overflowPunct/>
        <w:topLinePunct w:val="0"/>
        <w:autoSpaceDE/>
        <w:autoSpaceDN/>
        <w:bidi w:val="0"/>
        <w:spacing w:line="560" w:lineRule="exact"/>
        <w:ind w:firstLine="4480" w:firstLineChars="1400"/>
        <w:textAlignment w:val="auto"/>
        <w:rPr>
          <w:rFonts w:ascii="Times New Roman" w:hAnsi="Times New Roman" w:eastAsia="仿宋_GB2312" w:cs="仿宋_GB2312"/>
          <w:sz w:val="32"/>
          <w:szCs w:val="32"/>
        </w:rPr>
      </w:pPr>
      <w:r>
        <w:rPr>
          <w:rFonts w:hint="eastAsia" w:ascii="仿宋_GB2312" w:hAnsi="仿宋_GB2312" w:eastAsia="仿宋_GB2312" w:cs="仿宋_GB2312"/>
          <w:sz w:val="32"/>
          <w:szCs w:val="32"/>
          <w:lang w:val="en-US" w:eastAsia="zh-CN"/>
        </w:rPr>
        <w:t>2024年1月30日</w:t>
      </w:r>
    </w:p>
    <w:p w14:paraId="6B450087">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49274"/>
      <w:docPartObj>
        <w:docPartGallery w:val="autotext"/>
      </w:docPartObj>
    </w:sdtPr>
    <w:sdtContent>
      <w:p w14:paraId="7AB19930">
        <w:pPr>
          <w:pStyle w:val="4"/>
          <w:jc w:val="right"/>
        </w:pPr>
        <w:r>
          <w:fldChar w:fldCharType="begin"/>
        </w:r>
        <w:r>
          <w:instrText xml:space="preserve">PAGE   \* MERGEFORMAT</w:instrText>
        </w:r>
        <w:r>
          <w:fldChar w:fldCharType="separate"/>
        </w:r>
        <w:r>
          <w:rPr>
            <w:lang w:val="zh-CN"/>
          </w:rPr>
          <w:t>-</w:t>
        </w:r>
        <w:r>
          <w:t xml:space="preserve"> 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643703"/>
      <w:docPartObj>
        <w:docPartGallery w:val="autotext"/>
      </w:docPartObj>
    </w:sdtPr>
    <w:sdtContent>
      <w:p w14:paraId="14E79220">
        <w:pPr>
          <w:pStyle w:val="4"/>
        </w:pPr>
        <w:r>
          <w:fldChar w:fldCharType="begin"/>
        </w:r>
        <w:r>
          <w:instrText xml:space="preserve">PAGE   \* MERGEFORMAT</w:instrText>
        </w:r>
        <w:r>
          <w:fldChar w:fldCharType="separate"/>
        </w:r>
        <w:r>
          <w:rPr>
            <w:lang w:val="zh-CN"/>
          </w:rPr>
          <w:t>-</w:t>
        </w:r>
        <w:r>
          <w:t xml:space="preserve"> 6 -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47D5E"/>
    <w:multiLevelType w:val="singleLevel"/>
    <w:tmpl w:val="F6C47D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OWU0MWU5YjVkODZlNDQ0NmVhYmU0ZmEzZTJmMWQifQ=="/>
  </w:docVars>
  <w:rsids>
    <w:rsidRoot w:val="443126C5"/>
    <w:rsid w:val="00081979"/>
    <w:rsid w:val="000B2EDD"/>
    <w:rsid w:val="000F56E9"/>
    <w:rsid w:val="0011370E"/>
    <w:rsid w:val="00140694"/>
    <w:rsid w:val="00151810"/>
    <w:rsid w:val="00163D33"/>
    <w:rsid w:val="00164E19"/>
    <w:rsid w:val="00172EAC"/>
    <w:rsid w:val="0018768C"/>
    <w:rsid w:val="001A1653"/>
    <w:rsid w:val="002450A6"/>
    <w:rsid w:val="00267436"/>
    <w:rsid w:val="00452B4D"/>
    <w:rsid w:val="00495C5E"/>
    <w:rsid w:val="004A253E"/>
    <w:rsid w:val="004D0E8D"/>
    <w:rsid w:val="004D40C0"/>
    <w:rsid w:val="004E7865"/>
    <w:rsid w:val="004F0FDC"/>
    <w:rsid w:val="005003C3"/>
    <w:rsid w:val="00517914"/>
    <w:rsid w:val="00547C6C"/>
    <w:rsid w:val="00553EEE"/>
    <w:rsid w:val="00570141"/>
    <w:rsid w:val="005931AD"/>
    <w:rsid w:val="005F18FC"/>
    <w:rsid w:val="00603B5C"/>
    <w:rsid w:val="0062109F"/>
    <w:rsid w:val="00652543"/>
    <w:rsid w:val="006841EE"/>
    <w:rsid w:val="00691115"/>
    <w:rsid w:val="006A1294"/>
    <w:rsid w:val="006B2481"/>
    <w:rsid w:val="00727A99"/>
    <w:rsid w:val="00731AB6"/>
    <w:rsid w:val="007356A6"/>
    <w:rsid w:val="00770E79"/>
    <w:rsid w:val="007D7731"/>
    <w:rsid w:val="00812BE7"/>
    <w:rsid w:val="00822ECA"/>
    <w:rsid w:val="0087304C"/>
    <w:rsid w:val="008E7556"/>
    <w:rsid w:val="00951282"/>
    <w:rsid w:val="00955E79"/>
    <w:rsid w:val="00956238"/>
    <w:rsid w:val="0096259D"/>
    <w:rsid w:val="009D2D4F"/>
    <w:rsid w:val="009D32D8"/>
    <w:rsid w:val="00A57861"/>
    <w:rsid w:val="00B077EB"/>
    <w:rsid w:val="00B1738D"/>
    <w:rsid w:val="00B232D5"/>
    <w:rsid w:val="00B3353F"/>
    <w:rsid w:val="00BD7DF6"/>
    <w:rsid w:val="00BE39BE"/>
    <w:rsid w:val="00C6293C"/>
    <w:rsid w:val="00D02470"/>
    <w:rsid w:val="00D61C81"/>
    <w:rsid w:val="00DB173F"/>
    <w:rsid w:val="00DE033E"/>
    <w:rsid w:val="00E575ED"/>
    <w:rsid w:val="00EA31B4"/>
    <w:rsid w:val="00EA746F"/>
    <w:rsid w:val="00F05398"/>
    <w:rsid w:val="00F33827"/>
    <w:rsid w:val="00FF0339"/>
    <w:rsid w:val="048B3475"/>
    <w:rsid w:val="0C561190"/>
    <w:rsid w:val="12123C20"/>
    <w:rsid w:val="1A1F02FE"/>
    <w:rsid w:val="1CB42544"/>
    <w:rsid w:val="211623A1"/>
    <w:rsid w:val="22E542B8"/>
    <w:rsid w:val="262036BB"/>
    <w:rsid w:val="30103CB1"/>
    <w:rsid w:val="327E2B6A"/>
    <w:rsid w:val="330E54CC"/>
    <w:rsid w:val="40CA6978"/>
    <w:rsid w:val="437E1E95"/>
    <w:rsid w:val="43D61BE2"/>
    <w:rsid w:val="443126C5"/>
    <w:rsid w:val="447479BB"/>
    <w:rsid w:val="463902F3"/>
    <w:rsid w:val="46DD15C6"/>
    <w:rsid w:val="4E7F79AD"/>
    <w:rsid w:val="5AAE0E58"/>
    <w:rsid w:val="5AC01C3D"/>
    <w:rsid w:val="5B1138AD"/>
    <w:rsid w:val="5D110251"/>
    <w:rsid w:val="7E3269B6"/>
    <w:rsid w:val="7EEF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qFormat/>
    <w:uiPriority w:val="0"/>
    <w:pPr>
      <w:ind w:left="100" w:leftChars="2500"/>
    </w:pPr>
  </w:style>
  <w:style w:type="paragraph" w:styleId="3">
    <w:name w:val="Balloon Text"/>
    <w:basedOn w:val="1"/>
    <w:link w:val="14"/>
    <w:autoRedefine/>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4"/>
    <w:autoRedefine/>
    <w:qFormat/>
    <w:uiPriority w:val="99"/>
    <w:rPr>
      <w:rFonts w:asciiTheme="minorHAnsi" w:hAnsiTheme="minorHAnsi" w:eastAsiaTheme="minorEastAsia" w:cstheme="minorBidi"/>
      <w:kern w:val="2"/>
      <w:sz w:val="18"/>
      <w:szCs w:val="18"/>
    </w:rPr>
  </w:style>
  <w:style w:type="character" w:customStyle="1" w:styleId="12">
    <w:name w:val="日期 Char"/>
    <w:basedOn w:val="8"/>
    <w:link w:val="2"/>
    <w:autoRedefine/>
    <w:qFormat/>
    <w:uiPriority w:val="0"/>
    <w:rPr>
      <w:rFonts w:asciiTheme="minorHAnsi" w:hAnsiTheme="minorHAnsi" w:eastAsiaTheme="minorEastAsia" w:cstheme="minorBidi"/>
      <w:kern w:val="2"/>
      <w:sz w:val="21"/>
      <w:szCs w:val="24"/>
    </w:rPr>
  </w:style>
  <w:style w:type="paragraph" w:styleId="13">
    <w:name w:val="List Paragraph"/>
    <w:basedOn w:val="1"/>
    <w:autoRedefine/>
    <w:unhideWhenUsed/>
    <w:qFormat/>
    <w:uiPriority w:val="99"/>
    <w:pPr>
      <w:ind w:firstLine="420" w:firstLineChars="200"/>
    </w:pPr>
  </w:style>
  <w:style w:type="character" w:customStyle="1" w:styleId="14">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455E-7B13-4818-BF9C-02D332ED46EE}">
  <ds:schemaRefs/>
</ds:datastoreItem>
</file>

<file path=docProps/app.xml><?xml version="1.0" encoding="utf-8"?>
<Properties xmlns="http://schemas.openxmlformats.org/officeDocument/2006/extended-properties" xmlns:vt="http://schemas.openxmlformats.org/officeDocument/2006/docPropsVTypes">
  <Template>Normal</Template>
  <Pages>7</Pages>
  <Words>2981</Words>
  <Characters>3125</Characters>
  <Lines>334</Lines>
  <Paragraphs>213</Paragraphs>
  <TotalTime>2</TotalTime>
  <ScaleCrop>false</ScaleCrop>
  <LinksUpToDate>false</LinksUpToDate>
  <CharactersWithSpaces>3125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2024-01-04T00:57:00Z</dcterms:created>
  <dc:creator>诗人与熊</dc:creator>
  <cp:lastModifiedBy>且听风吟</cp:lastModifiedBy>
  <cp:lastPrinted>2024-01-10T06:49:00Z</cp:lastPrinted>
  <dcterms:modified xsi:type="dcterms:W3CDTF">2025-01-20T00:31:34Z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C05EC6E2FFB6402FB849018C924CF12C_13</vt:lpwstr>
  </property>
  <property fmtid="{D5CDD505-2E9C-101B-9397-08002B2CF9AE}" pid="4" name="KSOTemplateDocerSaveRecord">
    <vt:lpwstr>eyJoZGlkIjoiYzQ2OWU0MWU5YjVkODZlNDQ0NmVhYmU0ZmEzZTJmMWQiLCJ1c2VySWQiOiIyNjEwNzc1NDUifQ==</vt:lpwstr>
  </property>
</Properties>
</file>